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84" w:lineRule="auto"/>
        <w:rPr>
          <w:rFonts w:ascii="Cambria" w:cs="Cambria" w:eastAsia="Cambria" w:hAnsi="Cambr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84" w:lineRule="auto"/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A TANTÁRGY ADATLAPJA </w:t>
      </w:r>
    </w:p>
    <w:p w:rsidR="00000000" w:rsidDel="00000000" w:rsidP="00000000" w:rsidRDefault="00000000" w:rsidRPr="00000000" w14:paraId="00000003">
      <w:pPr>
        <w:spacing w:line="384" w:lineRule="auto"/>
        <w:jc w:val="center"/>
        <w:rPr>
          <w:rFonts w:ascii="Cambria" w:cs="Cambria" w:eastAsia="Cambria" w:hAnsi="Cambria"/>
          <w:i w:val="1"/>
          <w:iCs w:val="1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rtl w:val="0"/>
        </w:rPr>
        <w:t xml:space="preserve">Színházművészet az oktatásban</w:t>
      </w:r>
    </w:p>
    <w:p w:rsidR="00000000" w:rsidDel="00000000" w:rsidP="00000000" w:rsidRDefault="00000000" w:rsidRPr="00000000" w14:paraId="00000004">
      <w:pPr>
        <w:spacing w:line="384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Egyetemi tanév: 2025/2026</w:t>
      </w:r>
    </w:p>
    <w:p w:rsidR="00000000" w:rsidDel="00000000" w:rsidP="00000000" w:rsidRDefault="00000000" w:rsidRPr="00000000" w14:paraId="00000005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1. A képzési program adatai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1.1. Felsőoktatási intézmény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spacing w:after="0" w:line="240" w:lineRule="auto"/>
              <w:ind w:left="90" w:right="-625" w:firstLine="0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Babeş-Bolyai Tudományegyetem, Kolozsvár 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1.2. Kar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Film Kar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1.3. Intézet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 Színházi Intézet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1.4.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Szakterület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előadóművészetek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Képzési szint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Egyetemi alapképzés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1.6. Tanulmányi program / Képesítés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Színháztudomány-színházi újságírás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1.7. Képzési forma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Nappali tagozatos képzés</w:t>
            </w:r>
          </w:p>
        </w:tc>
      </w:tr>
    </w:tbl>
    <w:p w:rsidR="00000000" w:rsidDel="00000000" w:rsidP="00000000" w:rsidRDefault="00000000" w:rsidRPr="00000000" w14:paraId="00000014">
      <w:pPr>
        <w:spacing w:after="0" w:lineRule="auto"/>
        <w:rPr>
          <w:rFonts w:ascii="Cambria" w:cs="Cambria" w:eastAsia="Cambria" w:hAnsi="Cambr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2. A tantárgy adatai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  <w:tblGridChange w:id="0">
          <w:tblGrid>
            <w:gridCol w:w="1868"/>
            <w:gridCol w:w="283"/>
            <w:gridCol w:w="426"/>
            <w:gridCol w:w="1134"/>
            <w:gridCol w:w="567"/>
            <w:gridCol w:w="1984"/>
            <w:gridCol w:w="851"/>
            <w:gridCol w:w="1701"/>
            <w:gridCol w:w="283"/>
            <w:gridCol w:w="14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2.1. A tantárgy neve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Színházművészet az oktatásban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kódja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VLM 4762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2.2. Az előadásért felelős tanár neve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Dr. Bartha Katalin Ágnes egy. docens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2.3. A szemináriumért felelős tanár neve</w:t>
            </w:r>
          </w:p>
        </w:tc>
        <w:tc>
          <w:tcPr>
            <w:gridSpan w:val="6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Drd. Fincziski Andrea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2.4. Tanulmányi év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ind w:right="-203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2.5. Félév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ind w:right="-288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2.6. Értékelés módja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É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2.7. Tantárgy típusa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Opcionális Szakmai tantárgy/DS</w:t>
            </w:r>
          </w:p>
        </w:tc>
      </w:tr>
    </w:tbl>
    <w:p w:rsidR="00000000" w:rsidDel="00000000" w:rsidP="00000000" w:rsidRDefault="00000000" w:rsidRPr="00000000" w14:paraId="0000003E">
      <w:pPr>
        <w:spacing w:after="0" w:lineRule="auto"/>
        <w:ind w:right="-765"/>
        <w:rPr>
          <w:rFonts w:ascii="Cambria" w:cs="Cambria" w:eastAsia="Cambria" w:hAnsi="Cambr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ind w:right="-766"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3. Teljes becsült idő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oktatási tevékenység féléves óraszáma)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709"/>
        <w:gridCol w:w="2126"/>
        <w:gridCol w:w="567"/>
        <w:gridCol w:w="1701"/>
        <w:gridCol w:w="1276"/>
        <w:gridCol w:w="567"/>
        <w:tblGridChange w:id="0">
          <w:tblGrid>
            <w:gridCol w:w="3539"/>
            <w:gridCol w:w="709"/>
            <w:gridCol w:w="2126"/>
            <w:gridCol w:w="567"/>
            <w:gridCol w:w="1701"/>
            <w:gridCol w:w="1276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3.1. Heti óraszám 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melyből: 3.2 előadás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3.3 labor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3.4. Tantervben szereplő összóraszám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melyből: 3.5 előadás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3.6 szeminárium/labor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4E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Az egyéni tanulmányi idő (ET) és az önképzési tevékenységekre (ÖT) szánt idő elosztása: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óra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tankönyv, a jegyzet, a szakirodalom vagy saját jegyzetek tanulmányozása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C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Könyvtárban, elektronikus adatbázisokban vagy terepen való további tájékozódás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3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Szemináriumok / laborok, házi feladatok, portfóliók, referátumok, esszék kidolgozása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A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Egyéni készségfejlesztés (tutorálás)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1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Vizsgák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8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Más tevékenységek: [pl.: kétirányú kommunikáció a tárgyfelelőssel/ tutorral]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F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3.7. Egyéni tanulmányi idő (ET) és önképzési tevékenységekre (ÖT) szánt idő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4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58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6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3.8. A félév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B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              100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D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3.9. Kreditszám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2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94">
      <w:pPr>
        <w:spacing w:after="0" w:lineRule="auto"/>
        <w:ind w:left="-284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0" w:line="240" w:lineRule="auto"/>
        <w:ind w:left="-284" w:hanging="141.99999999999994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4. Előfeltételek (ha vannak)</w:t>
      </w:r>
      <w:r w:rsidDel="00000000" w:rsidR="00000000" w:rsidRPr="00000000">
        <w:rPr>
          <w:rtl w:val="0"/>
        </w:rPr>
      </w:r>
    </w:p>
    <w:tbl>
      <w:tblPr>
        <w:tblStyle w:val="Table4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8364"/>
        <w:tblGridChange w:id="0">
          <w:tblGrid>
            <w:gridCol w:w="2127"/>
            <w:gridCol w:w="836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4.1. Tantervi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4.2. Kompetenciabeli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spacing w:after="0" w:lineRule="auto"/>
        <w:ind w:right="-765"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40" w:lineRule="auto"/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5. Feltételek (ha vannak)</w:t>
      </w:r>
      <w:r w:rsidDel="00000000" w:rsidR="00000000" w:rsidRPr="00000000">
        <w:rPr>
          <w:rtl w:val="0"/>
        </w:rPr>
      </w:r>
    </w:p>
    <w:tbl>
      <w:tblPr>
        <w:tblStyle w:val="Table5"/>
        <w:tblW w:w="10439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1"/>
        <w:gridCol w:w="5618"/>
        <w:tblGridChange w:id="0">
          <w:tblGrid>
            <w:gridCol w:w="4821"/>
            <w:gridCol w:w="56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5.1. Az előadás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Projektorral ellátott terem, infrastruktúra egyes témákhoz (vetítő, laptop, internet), könyvek valamilyen hordozón, MSTeams felület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5.2. A szeminárium / labor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Infrastruktúra egyes témákhoz (vetítő, laptop, internet), az olvasott ill. elemzendő anyag valamilyen hordozón, MSTeams felület; szemináriumon való részévétel kötelező</w:t>
            </w:r>
          </w:p>
        </w:tc>
      </w:tr>
    </w:tbl>
    <w:p w:rsidR="00000000" w:rsidDel="00000000" w:rsidP="00000000" w:rsidRDefault="00000000" w:rsidRPr="00000000" w14:paraId="000000A0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6. Tanulási eredmények</w:t>
      </w:r>
    </w:p>
    <w:tbl>
      <w:tblPr>
        <w:tblStyle w:val="Table6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9781"/>
        <w:tblGridChange w:id="0">
          <w:tblGrid>
            <w:gridCol w:w="710"/>
            <w:gridCol w:w="9781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Ismeretek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a színházi nevelés és művészeti pedagógia legfontosabb elméleti irányzatait, terminológiáját és célrendszerét.</w:t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az alkalmazott színház és a Theater in Education programok főbb típusait, céljait és esztétikai-pedagógiai funkcióit.</w:t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a színházi nevelési projektek kutatásának módszertani kereteit és forrásait.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a színház, a társművészetek és a társadalomtudomány közötti kapcsolódási pontokat és együttműködési lehetőségeket.</w:t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 olyan színházi nevelési programokat és pedagógiai gyakorlatokat, amelyek a nemek közötti egyenlőséget támogatják, és hozzájárulnak a társadalmi sztereotípiák lebontásához.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 olyan művészeti nevelési megközelítéseket, amelyek segítik a minőségi oktatáshoz való hozzáférést, különös tekintettel a hátrányos helyzetű csoportokra</w:t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Képességek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értelmezni és elemezni különféle színházi nevelési és alkalmazott színházi programokat elméleti és gyakorlati szempontok alapján egyaránt.</w:t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színházi nevelési gyakorlatokat tervezni, összehangolva a művészeti, pedagógiai és társadalmi célokat.</w:t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kritikai szemlélettel reflektálni nevelési programokra, és argumentált véleményt formálni róluk szóban és írásban.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megfelelően kommunikálni különböző célközönség (pl. pedagógusok, diákok, szakmai közeg) irányba.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adaptálni a színházi eszközöket más nevelési vagy közösségi színterekhez (pl. iskolák, múzeumok, civil programok).</w:t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olyan érzékenyítő színházi nevelési projekteket tervezni és értelmezni, amelyek a társadalmi nemek közti egyenlőség elvét támogatják.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színházi eszközöket a formális és nem formális oktatás kontextusában úgy alkalmazni, hogy azok előmozdítsák az inkluzív, egyenlő esélyű tanulási környezet kialakítását.</w:t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Felelősség és önállóság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önállóan színházi nevelési projektet kidolgozni, az elméleti tudást gyakorlati célkitűzésekkel ötvözve.</w:t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saját elemzési modellt alkalmazva képes felelősségteljesen értékelni pedagógiai célú színházi előadásokat vagy programokat.</w:t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kreatív módon integrálni a színházi nevelés módszertanát más művészeti és oktatási gyakorlatokba.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tudatosan alakítani saját szerepét mint közvetítő és reflektív alkotó különböző közösségekben.</w:t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érzékenyen és nyitottan reagálni társadalmi és közösségi kihívásokra színházi nevelési eszközök hasznosításával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olyan oktatási célú színházi projektek megvalósítására, amelyek támogatják a nemi szerepek tudatosítását és egyenlőségének előmozdítását az iskolai közösségekben.</w:t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önállóan képes fenntartható oktatási gyakorlatokat népszerűsítő programokat kidolgozni, különös tekintettel az esélyegyenlőségre és az egész életen át tartó tanulás lehetőségeinek biztosítására.</w:t>
            </w:r>
          </w:p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C">
      <w:pPr>
        <w:spacing w:after="0" w:line="240" w:lineRule="auto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0" w:line="24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7. A tantárgy célkitűzései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elsajátítandó jellemző kompetenciák alapján)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7.1 A tantárgy általános célkitűzése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tájékozottságot nyújt általában a művészeti nevelés és a színházi pedagógia legfontosabb irányaiba, programjaiba, fogalmi világába a vonatkozó legfontosabb magyar nyelvű irodalom tanulmányozása és konkrét színházi nevelési programokról szerzett tapasztalat révén</w:t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7.2 A tantárgy sajátos célkitűzései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Ismerkedés több művészeti ág esztétikai nevelési és személyiség-fejlesztő pedagógiai programjaival.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Ismerkedés az alapvető Theater in Education programokkal, műfajokkal, alkalmazott színházi programokkal és gyakorlatokkal a kortárs színházi jelenségek komplexitásának megértése céljából. 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különféle alkalmazott színházi gyakorlatokat, programokat kortárs színházi nevelés alapkoncepcióit és fogalmait a pedagógia, színházművészet és társadalomtudomány interdiszciplináris közegében ismerteti.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Nemcsak a hagyományos tanulási modellek mentén dolgozni, hanem a színház és társművészetek eszközeinek felhasználásával olyan kreatív modellekkel ismerkedni, amelyek egyrészt a színházra nevelés kérdéskörét is láthatóvá teszik, másrészt a színház eszközeinek más területeken való felhasználásába is betekintést engednek</w:t>
            </w:r>
          </w:p>
        </w:tc>
      </w:tr>
    </w:tbl>
    <w:p w:rsidR="00000000" w:rsidDel="00000000" w:rsidP="00000000" w:rsidRDefault="00000000" w:rsidRPr="00000000" w14:paraId="000000C5">
      <w:pPr>
        <w:spacing w:after="0" w:line="240" w:lineRule="auto"/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8. A tantárgy tartalma</w:t>
      </w:r>
    </w:p>
    <w:tbl>
      <w:tblPr>
        <w:tblStyle w:val="Table8"/>
        <w:tblW w:w="1049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7"/>
        <w:gridCol w:w="3543"/>
        <w:gridCol w:w="3261"/>
        <w:tblGridChange w:id="0">
          <w:tblGrid>
            <w:gridCol w:w="3687"/>
            <w:gridCol w:w="3543"/>
            <w:gridCol w:w="3261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8.1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Bevezetés a művészetpedagógiába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Fogalom definiálások, magyarázat, módszertan, bemutatása</w:t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Művészetpedagógiai fordulat</w:t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Hallgasd meg a zsidó szomszédod történetét (Povestea vecinilui tau evreu). Muzeon, kolozsvári innovatív múzeum és tapasztalata mzn.ro </w:t>
            </w:r>
          </w:p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Erdőntúl. Szubjektív körkép az erdélyi múzeumok világából. Múzeumcafé. A múzeumok magazinja47. sz. 9. évf. 2015/3.</w:t>
            </w:r>
          </w:p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Művészeti oktatás és oktatáskutatás. </w:t>
            </w:r>
          </w:p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Bevezetés a színházi nevelésbe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Cziboly Ádám és Bethlenfalvy Ádám,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Színházi nevelési programok kézikönyve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Budapest: L’Harmattan, 2013</w:t>
            </w:r>
          </w:p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/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Művészet- és színházpedagógiai fordulat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Cziboly Ádám és Bethlenfalvy Ádám,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Színházi nevelési programok kézikönyve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Budapest: L’Harmattan, 2013</w:t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Bevezetés a színházi nevelésbe.</w:t>
            </w: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 Színházi nevelési programok és műfajai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Cziboly Ádám és Bethlenfalvy Ádám,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Színházi nevelési programok kézikönyve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Budapest: L’Harmattan, 2013</w:t>
            </w:r>
          </w:p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 Velencei kalmár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dráma és színházi előadás- társadalmi kérdés és középiskolai taníthatóság</w:t>
            </w:r>
          </w:p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Cambria" w:cs="Cambria" w:eastAsia="Cambria" w:hAnsi="Cambria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William Shakespeare: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Velencei kalmár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Színházi nevelési programok és műfajai (Theater in Education, komplex színházi nevelési programok)</w:t>
            </w:r>
          </w:p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Velencei kalmár dráma és színházi előadás- társadalmi kérdés és középiskolai taníthatóság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Cambria" w:cs="Cambria" w:eastAsia="Cambria" w:hAnsi="Cambria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William Shakespeare: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Velencei kalmár</w:t>
            </w:r>
          </w:p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Alkalmazott színház A színház mint önismereti és terápiás alkalmazások (I)</w:t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Leo Amici 2002 Alapítvány színházterápiás közösségének előadása, 2012.10.18.</w:t>
            </w:r>
          </w:p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hyperlink r:id="rId8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https://www.youtube.com/watch?v=aJ_p68SCuok&amp;list=PLmGQOzL1aYjmsvgrvERNXcx0q6BzszvGQ&amp;index=15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Alkalmazott színház A színház mint önismereti és terápiás alkalmazások (II)</w:t>
            </w: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Expresszív művészetterápia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Nevelési-oktatási alkalmazott színház</w:t>
            </w:r>
          </w:p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Akadályverseny. </w:t>
            </w:r>
          </w:p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Takács Gábor öá.,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Programvázlat. Akadályverseny- színházi játék az iskolában 14-16 éveseknek. In: In: Akadályverseny–Szabadság-projekt az iskolában. Drámapedagógiai esettanulmányok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II. Szerk. Horváth Kata, Budapest: L’Harmattan, 2010. (Színház és Pedagógia, Elméleti és módszertani füzetek 6.) 13-29</w:t>
            </w:r>
          </w:p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Irodalommal nevelés</w:t>
            </w:r>
          </w:p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Velencei kalmár dráma és színházi előadás- társadalmi kérdés és középiskolai taníthatóság</w:t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Cambria" w:cs="Cambria" w:eastAsia="Cambria" w:hAnsi="Cambria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William Shakespeare: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Velencei kalmár</w:t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Drámaprogram hátrányos helyzetű fiatalokkal </w:t>
            </w:r>
          </w:p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A hátrányos helyzet tapasztalatainak újrafogalmazása: dráma mint pedagógiai és kutatási módszer</w:t>
            </w:r>
          </w:p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A társadalmi színház mint participatív és performatív kutatási  módszer</w:t>
            </w:r>
          </w:p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KÁVA: Ásó, kapa, nagyharang c. projekt</w:t>
            </w:r>
          </w:p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Az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color w:val="333333"/>
                <w:sz w:val="20"/>
                <w:szCs w:val="20"/>
                <w:rtl w:val="0"/>
              </w:rPr>
              <w:t xml:space="preserve">Új néző</w:t>
            </w: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 program és színházi akcióik</w:t>
            </w:r>
          </w:p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Az Új néző (Társadalmi színházi kísérlet Magyarországon)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Szerk. Horváth Kata. L’Harmattan, Bp., 2012. (Színház és Pedagógia. Elméleti és Módszertani Füzetek 7)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kutatás: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Velencei kalmár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-hoz készített beavató színházi nevelési program elkészítése (foglalkozási, nevelési alkalom)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elbeszélés, szemléltetés, megfigyeltetés, előadás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kutatás: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Velencei kalmár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-hoz készített beavató színházi nevelési program bemutatás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Könyvészet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Barone, T. – Eisner, E. (2011): Arts Based Research. Thousand Oaks, CA.: SAGE Publications.</w:t>
            </w:r>
          </w:p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Magyarul: Művészet alapú oktatáskutatás. (ford. Szirmai E., Erdeiné Nyilas I.) Kézirat, </w:t>
            </w:r>
            <w:hyperlink r:id="rId9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https://terd.unideb.hu/doc/modszertan/muveszet_alapu_oktataskutatas.pdf</w:t>
              </w:r>
            </w:hyperlink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Cziboly Ádám szerk.: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Színházi nevelési és színházpedagógiai kézikönyv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, InSite Drama, 2017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Cziboly Ádám és Bethlenfalvy Ádám,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Színházi nevelési programok kézikönyve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Budapest: L’Harmattan, 2013. </w:t>
            </w:r>
          </w:p>
          <w:p w:rsidR="00000000" w:rsidDel="00000000" w:rsidP="00000000" w:rsidRDefault="00000000" w:rsidRPr="00000000" w14:paraId="0000011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Conrad Diane: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 veszélyeztetettség fiatalkori tapasztalatai: a társadalmi színház, mint participatív és performatív kutatási módszer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Ford. Gagyi Ágnes. In: A dráma mint társadalomkutatás. Szerk. Horváth Kata. L’Harmattan, Bp., 2010 (Színház és Pedagógia. Elméleti és Módszertani Füzetek 5). In: 64-80.</w:t>
            </w:r>
          </w:p>
          <w:p w:rsidR="00000000" w:rsidDel="00000000" w:rsidP="00000000" w:rsidRDefault="00000000" w:rsidRPr="00000000" w14:paraId="0000011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Deme János, Sz. Deme László: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Ha a néző is résztvevő válna. Kísérletek a színház és közönség viszonyának újragondolására. Drámapedagógiai esettanulmányok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I. (Színház és Pedagógia, Elméleti és módszertani füzetek 4.) Budapest: L’Harmattan, 2010.</w:t>
            </w:r>
          </w:p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Horváth Kata: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 „hátrányos helyzet” és a „cigányság” tapasztalatainak újrafogalmazása. A dráma mint pedagógiai és kutatási módszer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In: A dráma mint társadalomkutatás. Szerk. Horváth Kata. L’Harmattan, Bp., 2010 (Színház és Pedagógia. Elméleti és Módszertani Füzetek 5). 81-106.</w:t>
            </w:r>
          </w:p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Horváth Kata,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A tekintély drámája az iskolában. Színházi játék a szabadságról két középiskolai osztályban.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In: Akadályverseny–Szabadság-projekt az iskolában. Drámapedagógiai esettanulmányok II. Szerk. Horváth Kata, Budapest: L’Harmattan, 2010. (Színház és Pedagógia, Elméleti és módszertani füzetek 6.) 67-99</w:t>
            </w:r>
          </w:p>
          <w:p w:rsidR="00000000" w:rsidDel="00000000" w:rsidP="00000000" w:rsidRDefault="00000000" w:rsidRPr="00000000" w14:paraId="0000012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Horváth Kata,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Utószó. Színházi nevelés mint társadalmi performansz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In: Társadalmi performansz. Szerk. Horváth Kata, Deme János, (Színház és Pedagógia, Elméleti és módszertani füzetek 4.) Budapest: L’Harmattan, 2009. 70-75.</w:t>
            </w:r>
          </w:p>
          <w:p w:rsidR="00000000" w:rsidDel="00000000" w:rsidP="00000000" w:rsidRDefault="00000000" w:rsidRPr="00000000" w14:paraId="0000012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Norris Joe: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Dráma mint kutatás. A tanítási dráma mint kutatásmódszertani lehetőség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Ford. Gagyi Ágnes. In: A dráma mint társadalomkutatás. Szerk. Horváth Kata. L’Harmattan, Bp., 2010 (Színház és Pedagógia. Elméleti és Módszertani Füzetek 5). 13-26.</w:t>
            </w:r>
          </w:p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Cambria" w:cs="Cambria" w:eastAsia="Cambria" w:hAnsi="Cambria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Takács Gábor: “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Konstruktív” dráma avagy a tanítási dráma kapcsolódása a konstruktivista pedagógia néhány alapfogalmához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. In: Konstruktív drama. (Színház és Pedagógia, Elméleti és módszertani füzetek 1.) Budapest: L’Harmattan,2009.26-44.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Takács Gábor öá.,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Programvázlat. Akadályverseny- színházi játék az iskolában 14-16 éveseknek. In: In: Akadályverseny–Szabadság-projekt az iskolában. Drámapedagógiai esettanulmányok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II. Szerk. Horváth Kata, Budapest: L’Harmattan, 2010. (Színház és Pedagógia, Elméleti és módszertani füzetek 6.) 13-29</w:t>
            </w:r>
          </w:p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8.2 Szeminárium / 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Bevezető a tantárgyba. A különböző színházi nevelési formák ismertetése (drámapedagógia, oktatási dráma, TIE)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Előadás-nézés,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színházi nevelés alapjai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Elmélet, gyakorlat,</w:t>
            </w:r>
          </w:p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Dorothy Heathcote, Chris Cooper,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Jeladás és képzelet,Két tanulmány a DIE/TIE területéről,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2020, K+Könyvek Sorozat Cziboly Ádám és Bethlenfalvy Ádám,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Színházi nevelési programok kézikönyve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Budapest: L’Harmattan, 2013,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színjáték pedagógiája, </w:t>
            </w: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2019, Színház-és Filmművészeti Egyetem Budapest</w:t>
            </w:r>
          </w:p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A drámapedagógia magyarországi és hazai gyakorlata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Előadás, gyakorlat,</w:t>
            </w:r>
          </w:p>
          <w:p w:rsidR="00000000" w:rsidDel="00000000" w:rsidP="00000000" w:rsidRDefault="00000000" w:rsidRPr="00000000" w14:paraId="0000013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Debreczeni Tibor,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color w:val="333333"/>
                <w:sz w:val="20"/>
                <w:szCs w:val="20"/>
                <w:rtl w:val="0"/>
              </w:rPr>
              <w:t xml:space="preserve">Drámapedagógiai órák, </w:t>
            </w: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Magyar Drámapedagógiai Társaság és Kecskeméti Tantóképző Fóiskola, Gabnai Katalin,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color w:val="333333"/>
                <w:sz w:val="20"/>
                <w:szCs w:val="20"/>
                <w:rtl w:val="0"/>
              </w:rPr>
              <w:t xml:space="preserve">Drámajátékok,</w:t>
            </w: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Bevezetés a drámapedagógiába, 2015, Helikon Kiadó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A meseterápia alkalmazási területei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Magyarázat, gyakorlat,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Boldizsár Ildikó,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color w:val="333333"/>
                <w:sz w:val="20"/>
                <w:szCs w:val="20"/>
                <w:rtl w:val="0"/>
              </w:rPr>
              <w:t xml:space="preserve">Meseterápia,</w:t>
            </w: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2013, Magvetó Kiadó, Boldizsár Ildikó,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color w:val="333333"/>
                <w:sz w:val="20"/>
                <w:szCs w:val="20"/>
                <w:rtl w:val="0"/>
              </w:rPr>
              <w:t xml:space="preserve">Hamupipőke Facebook-profilja, </w:t>
            </w: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2018, Jelenkor Kiadó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A történetek életre kelnek. Konkrét helyzetek adaptációja színházi eszközökkel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Csoportos gyakorlat,</w:t>
            </w:r>
          </w:p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Bethlenfalvy Ádám,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color w:val="333333"/>
                <w:sz w:val="20"/>
                <w:szCs w:val="20"/>
                <w:rtl w:val="0"/>
              </w:rPr>
              <w:t xml:space="preserve"> Dráma a tanteremben, Történetek cselekvő feldolgozása</w:t>
            </w: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, 2020, Budapest, L'Harmattan Kiadó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Mi a vitaszínház? A Kerekasztal Színházi Nevelési Központ interaktív társasjátéka.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Megbeszélés, gyakorlati megközelítés, csoportos munka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Proics Lilla: A demokrácia(nem)játék, 2019, szinhaz.net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Egy kiválasztott előadás színházi nevelési programja. Beavató színházi foglalkozás megtervezése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Előadás megtekintése, csoportos munka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Carlo Goldoni: A háború, vizsgaelőadás, rendezte: Zsámbéki Gábor, SZFE-2006</w:t>
            </w:r>
          </w:p>
          <w:p w:rsidR="00000000" w:rsidDel="00000000" w:rsidP="00000000" w:rsidRDefault="00000000" w:rsidRPr="00000000" w14:paraId="0000014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Színházi neveléssel az aktív demokráciáért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A Kerekasztal Színházi Nevelési Központ szakmai programja, amely az ENSZ Demokrácia Alapja támogatásával jött létre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color w:val="333333"/>
                <w:sz w:val="20"/>
                <w:szCs w:val="20"/>
                <w:rtl w:val="0"/>
              </w:rPr>
              <w:t xml:space="preserve">Mindenkinek joga van megszólalni</w:t>
            </w: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, Kerekasztal Színházi Nevelési Központ, Szada, 2010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Osztálytermi színház, tantermi színház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Vitaindító, 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Bánk bán? Jelen! Katona József Bánk bán című műve nyomán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333333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Váróterem Projekt tantermi előadása,2012 rendező: Visky Andrej</w:t>
            </w:r>
          </w:p>
          <w:p w:rsidR="00000000" w:rsidDel="00000000" w:rsidP="00000000" w:rsidRDefault="00000000" w:rsidRPr="00000000" w14:paraId="0000014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A színházi társasjáték, mint lehetőség.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Vetítés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Vitaindító</w:t>
            </w:r>
          </w:p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Szociopoly, interaktív színházi játék, a mentőcsónak és a Gyerekesély Egyesület előadása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Komplex színházi nevelési program megtervezése a megismert tudás anyagra alapozva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megbeszélés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333333"/>
                <w:sz w:val="20"/>
                <w:szCs w:val="20"/>
                <w:rtl w:val="0"/>
              </w:rPr>
              <w:t xml:space="preserve">Komplex színházi nevelési program-modell kidolgozása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Csoportos munka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Cambria" w:cs="Cambria" w:eastAsia="Cambria" w:hAnsi="Cambria"/>
                <w:color w:val="333333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Az egyéni színházi előadás tervezetek megvitatása, bemutatása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Eszközök, csoportos megbeszélés</w:t>
            </w:r>
          </w:p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elemzés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5E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Könyvészet</w:t>
            </w:r>
          </w:p>
        </w:tc>
      </w:tr>
    </w:tbl>
    <w:p w:rsidR="00000000" w:rsidDel="00000000" w:rsidP="00000000" w:rsidRDefault="00000000" w:rsidRPr="00000000" w14:paraId="00000161">
      <w:pPr>
        <w:spacing w:after="0" w:line="240" w:lineRule="auto"/>
        <w:ind w:left="-426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9. Az episztemikus közösségek képviselői, a szakmai egyesületek és a szakterület reprezentatív munkáltatói elvárásainak összhangba hozása a tantárgy tartalmával.</w:t>
      </w:r>
    </w:p>
    <w:tbl>
      <w:tblPr>
        <w:tblStyle w:val="Table9"/>
        <w:tblW w:w="10475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75"/>
        <w:tblGridChange w:id="0">
          <w:tblGrid>
            <w:gridCol w:w="10475"/>
          </w:tblGrid>
        </w:tblGridChange>
      </w:tblGrid>
      <w:tr>
        <w:trPr>
          <w:cantSplit w:val="0"/>
          <w:trHeight w:val="779" w:hRule="atLeast"/>
          <w:tblHeader w:val="0"/>
        </w:trPr>
        <w:tc>
          <w:tcPr/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4" w:right="0" w:hanging="357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Az oktatási módszerek alapját a kortárs nemzetközi és magyar színházi historiográfiai kutatások eredményei adják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4" w:right="0" w:hanging="357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tantárgy tartalma megfelel a hazai munkaerőpiac elvárásainak</w:t>
            </w:r>
          </w:p>
        </w:tc>
      </w:tr>
    </w:tbl>
    <w:p w:rsidR="00000000" w:rsidDel="00000000" w:rsidP="00000000" w:rsidRDefault="00000000" w:rsidRPr="00000000" w14:paraId="00000164">
      <w:pPr>
        <w:spacing w:after="0" w:line="24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10. Értékelés</w:t>
      </w:r>
      <w:r w:rsidDel="00000000" w:rsidR="00000000" w:rsidRPr="00000000">
        <w:rPr>
          <w:rtl w:val="0"/>
        </w:rPr>
      </w:r>
    </w:p>
    <w:tbl>
      <w:tblPr>
        <w:tblStyle w:val="Table10"/>
        <w:tblW w:w="10492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5"/>
        <w:gridCol w:w="2837"/>
        <w:gridCol w:w="2692"/>
        <w:gridCol w:w="2978"/>
        <w:tblGridChange w:id="0">
          <w:tblGrid>
            <w:gridCol w:w="1985"/>
            <w:gridCol w:w="2837"/>
            <w:gridCol w:w="2692"/>
            <w:gridCol w:w="297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Tevékenység típusa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ind w:left="46" w:right="-15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10.1 Értékelési kritériumok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10.2 Értékelési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10.3 Aránya a végső jegyben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10.4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" w:right="-154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Az előadás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54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tárgyalt témák átfogó ismerete</w:t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54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tárgy bibliográfiájának és terminológiájának ismerete és helyes használata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54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az elsajátított anyag koherens prezentálása</w:t>
            </w:r>
          </w:p>
          <w:p w:rsidR="00000000" w:rsidDel="00000000" w:rsidP="00000000" w:rsidRDefault="00000000" w:rsidRPr="00000000" w14:paraId="0000016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írásbeli dolgozat, egy színházi nevelési program-modell kidolgozása (min.  12.000 karakter)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 színházi nevelési program-modell írásbeli kidolgozása a tárgy bibliográfiájának alkalmazásával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50%</w:t>
            </w:r>
          </w:p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ind w:right="-15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10.5 Szeminárium / </w:t>
            </w:r>
          </w:p>
          <w:p w:rsidR="00000000" w:rsidDel="00000000" w:rsidP="00000000" w:rsidRDefault="00000000" w:rsidRPr="00000000" w14:paraId="00000177">
            <w:pPr>
              <w:spacing w:after="0" w:line="240" w:lineRule="auto"/>
              <w:ind w:right="-15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félév végén a színházi nevelési program-modell bemutatása, amely konkrét színházi előadások nevelési programjaként is működhet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Egyéni és csoportos kiértékelés</w:t>
            </w:r>
          </w:p>
          <w:p w:rsidR="00000000" w:rsidDel="00000000" w:rsidP="00000000" w:rsidRDefault="00000000" w:rsidRPr="00000000" w14:paraId="0000017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(utolsó szeminárium)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50%</w:t>
            </w:r>
          </w:p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18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10.6 A teljesítmény minimumkövetelményei</w:t>
            </w:r>
          </w:p>
        </w:tc>
      </w:tr>
      <w:tr>
        <w:trPr>
          <w:cantSplit w:val="0"/>
          <w:trHeight w:val="125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Az egyes témák ismerete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Összefüggések teremtésére való képesség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Kortárs színháztudományi kérdések, problémák érzékelése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bibliográfiai tételek legalább felének ismerete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Színházi nevelési projekt kidolgozásában való részvétel, illetve az összes téma alapszintű ismerete, kritikai megközelítése</w:t>
            </w:r>
          </w:p>
          <w:p w:rsidR="00000000" w:rsidDel="00000000" w:rsidP="00000000" w:rsidRDefault="00000000" w:rsidRPr="00000000" w14:paraId="0000018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F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spacing w:after="0" w:line="24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11. SDG ikonok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(Fenntartható fejlődési célok/ Sustainable Development Goals)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5"/>
        <w:gridCol w:w="9326"/>
        <w:tblGridChange w:id="0">
          <w:tblGrid>
            <w:gridCol w:w="1165"/>
            <w:gridCol w:w="9326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2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3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</w:rPr>
              <w:drawing>
                <wp:inline distB="0" distT="0" distL="0" distR="0">
                  <wp:extent cx="602615" cy="602615"/>
                  <wp:effectExtent b="0" l="0" r="0" t="0"/>
                  <wp:docPr descr="O imagine care conține roșu, siglă, proiectare, Grafică&#10;&#10;Descriere generată automat" id="1" name="image2.png"/>
                  <a:graphic>
                    <a:graphicData uri="http://schemas.openxmlformats.org/drawingml/2006/picture">
                      <pic:pic>
                        <pic:nvPicPr>
                          <pic:cNvPr descr="O imagine care conține roșu, siglă, proiectare, Grafică&#10;&#10;Descriere generată automat"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Cambria" w:cs="Cambria" w:eastAsia="Cambria" w:hAnsi="Cambria"/>
              </w:rPr>
              <w:drawing>
                <wp:inline distB="0" distT="0" distL="0" distR="0">
                  <wp:extent cx="603250" cy="603250"/>
                  <wp:effectExtent b="0" l="0" r="0" t="0"/>
                  <wp:docPr descr="O imagine care conține text, Font, siglă, captură de ecran&#10;&#10;Descriere generată automat" id="2" name="image1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siglă, captură de ecran&#10;&#10;Descriere generată automat" id="0" name="image1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4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491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971"/>
        <w:gridCol w:w="998"/>
        <w:gridCol w:w="3969"/>
        <w:tblGridChange w:id="0">
          <w:tblGrid>
            <w:gridCol w:w="2553"/>
            <w:gridCol w:w="2971"/>
            <w:gridCol w:w="998"/>
            <w:gridCol w:w="3969"/>
          </w:tblGrid>
        </w:tblGridChange>
      </w:tblGrid>
      <w:tr>
        <w:trPr>
          <w:cantSplit w:val="0"/>
          <w:trHeight w:val="14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7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Kitöltés időpontja:</w:t>
            </w:r>
          </w:p>
          <w:p w:rsidR="00000000" w:rsidDel="00000000" w:rsidP="00000000" w:rsidRDefault="00000000" w:rsidRPr="00000000" w14:paraId="0000019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19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9A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Előadás felelőse:</w:t>
            </w:r>
          </w:p>
          <w:p w:rsidR="00000000" w:rsidDel="00000000" w:rsidP="00000000" w:rsidRDefault="00000000" w:rsidRPr="00000000" w14:paraId="0000019C">
            <w:pPr>
              <w:spacing w:after="240"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E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Szeminárium felelőse:</w:t>
            </w:r>
          </w:p>
          <w:p w:rsidR="00000000" w:rsidDel="00000000" w:rsidP="00000000" w:rsidRDefault="00000000" w:rsidRPr="00000000" w14:paraId="0000019F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</w:t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0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A1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3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A4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Az intézeti jóváhagyás dátuma:</w:t>
            </w:r>
          </w:p>
          <w:p w:rsidR="00000000" w:rsidDel="00000000" w:rsidP="00000000" w:rsidRDefault="00000000" w:rsidRPr="00000000" w14:paraId="000001A5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A7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Intézetigazgató:</w:t>
            </w:r>
          </w:p>
          <w:p w:rsidR="00000000" w:rsidDel="00000000" w:rsidP="00000000" w:rsidRDefault="00000000" w:rsidRPr="00000000" w14:paraId="000001A8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....................</w:t>
            </w:r>
          </w:p>
        </w:tc>
      </w:tr>
    </w:tbl>
    <w:p w:rsidR="00000000" w:rsidDel="00000000" w:rsidP="00000000" w:rsidRDefault="00000000" w:rsidRPr="00000000" w14:paraId="000001AA">
      <w:pPr>
        <w:spacing w:after="0" w:line="240" w:lineRule="auto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Times New Roman"/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Csak azokat az ikonokat tartsa meg, amelyek az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SDG-ikonoknak az egyetemi folyamatban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Nem alkalmazható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hu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9" Type="http://schemas.openxmlformats.org/officeDocument/2006/relationships/hyperlink" Target="https://terd.unideb.hu/doc/modszertan/muveszet_alapu_oktataskutatas.pdf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s://www.youtube.com/watch?v=aJ_p68SCuok&amp;list=PLmGQOzL1aYjmsvgrvERNXcx0q6BzszvGQ&amp;index=15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Vq7PwvKHtBZGlfEbdKa29aeBiw==">CgMxLjA4AHIhMTl0S1pZY0xWTTlhNm9GalVWdWp3TXFvTFczMXYybDRZ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